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60" w:line="276" w:lineRule="auto"/>
        <w:rPr>
          <w:rFonts w:ascii="Georgia" w:hAnsi="Georgia"/>
          <w:b w:val="0"/>
          <w:color w:val="000000"/>
          <w:sz w:val="56"/>
        </w:rPr>
      </w:pPr>
      <w:r>
        <w:rPr>
          <w:rFonts w:ascii="Georgia" w:hAnsi="Georgia"/>
          <w:b w:val="0"/>
          <w:color w:val="000000"/>
          <w:sz w:val="56"/>
        </w:rPr>
        <w:t xml:space="preserve">Michael Teal</w:t>
      </w:r>
    </w:p>
    <w:p>
      <w:pPr>
        <w:spacing w:before="0" w:after="60" w:line="276" w:lineRule="auto"/>
        <w:rPr>
          <w:rFonts w:ascii="Calibri" w:hAnsi="Calibri"/>
          <w:b w:val="1"/>
          <w:color w:val="4C5457"/>
          <w:sz w:val="18"/>
        </w:rPr>
      </w:pPr>
      <w:r>
        <w:rPr>
          <w:rFonts w:ascii="Calibri" w:hAnsi="Calibri"/>
          <w:b w:val="1"/>
          <w:color w:val="4C5457"/>
          <w:sz w:val="18"/>
        </w:rPr>
        <w:t xml:space="preserve">TECHNOLOGY AND ENGINEERING EXECUTIVE</w:t>
      </w:r>
    </w:p>
    <w:p>
      <w:pPr>
        <w:spacing w:before="0" w:after="0" w:line="276" w:lineRule="auto"/>
        <w:rPr>
          <w:rFonts w:ascii="Calibri" w:hAnsi="Calibri"/>
          <w:b w:val="0"/>
          <w:color w:val="4C5457"/>
          <w:sz w:val="20"/>
        </w:rPr>
      </w:pPr>
      <w:r>
        <w:rPr>
          <w:rFonts w:ascii="Calibri" w:hAnsi="Calibri"/>
          <w:b w:val="0"/>
          <w:color w:val="4C5457"/>
          <w:sz w:val="20"/>
        </w:rPr>
        <w:t xml:space="preserve">Morrisville, NC | 919.455.0518 | mdteal@mdteal.com</w:t>
      </w:r>
    </w:p>
    <w:p>
      <w:pPr>
        <w:spacing w:before="0" w:after="160" w:line="276" w:lineRule="auto"/>
        <w:rPr>
          <w:rFonts w:ascii="Calibri" w:hAnsi="Calibri"/>
          <w:b w:val="0"/>
          <w:color w:val="4C5457"/>
          <w:sz w:val="20"/>
        </w:rPr>
      </w:pPr>
      <w:r>
        <w:rPr>
          <w:rFonts w:ascii="Calibri" w:hAnsi="Calibri"/>
          <w:b w:val="0"/>
          <w:color w:val="4C5457"/>
          <w:sz w:val="20"/>
        </w:rPr>
        <w:t xml:space="preserve">linkedin.com/in/mdteal | mdte.al</w:t>
      </w:r>
    </w:p>
    <w:p>
      <w:pPr>
        <w:spacing w:before="0" w:after="200" w:line="276" w:lineRule="auto"/>
        <w:rPr>
          <w:rFonts w:ascii="Georgia" w:hAnsi="Georgia"/>
          <w:b w:val="0"/>
          <w:color w:val="000000"/>
          <w:sz w:val="32"/>
        </w:rPr>
      </w:pPr>
      <w:r>
        <w:rPr>
          <w:rFonts w:ascii="Georgia" w:hAnsi="Georgia"/>
          <w:b w:val="0"/>
          <w:color w:val="000000"/>
          <w:sz w:val="32"/>
        </w:rPr>
        <w:t xml:space="preserve">Get what you expected, on time, every time.</w:t>
      </w:r>
    </w:p>
    <w:p>
      <w:pPr>
        <w:keepNext/>
        <w:spacing w:before="280" w:after="120" w:line="276" w:lineRule="auto"/>
        <w:rPr>
          <w:rFonts w:ascii="Calibri" w:hAnsi="Calibri"/>
          <w:b w:val="1"/>
          <w:color w:val="C6362F"/>
          <w:sz w:val="22"/>
        </w:rPr>
      </w:pPr>
      <w:r>
        <w:rPr>
          <w:rFonts w:ascii="Calibri" w:hAnsi="Calibri"/>
          <w:b w:val="1"/>
          <w:color w:val="C6362F"/>
          <w:sz w:val="22"/>
        </w:rPr>
        <w:t xml:space="preserve">SUMMARY</w:t>
      </w:r>
    </w:p>
    <w:p>
      <w:pPr>
        <w:spacing w:before="0" w:after="120" w:line="276" w:lineRule="auto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Engineering executive running a 75-person, two-business-line global organization on an AI-native operating model: agents execute the delivery lifecycle on one production business line while humans hold roadmap, specification ratification, and release authority. The delivery record shows the model works — 100% on-time delivery against executive-committed roadmap dates across five consecutive years (20 quarters), with 99.95% platform availability over three consecutive years. Ownership spans architecture, security, continuity and reliability, organization design, Artificial Intelligence (AI) transformation, and multi-year technology strategy across commercial Software as a Service (SaaS) products and cross-product shared services.</w:t>
      </w:r>
    </w:p>
    <w:p>
      <w:pPr>
        <w:keepNext/>
        <w:spacing w:before="280" w:after="120" w:line="276" w:lineRule="auto"/>
        <w:rPr>
          <w:rFonts w:ascii="Calibri" w:hAnsi="Calibri"/>
          <w:b w:val="1"/>
          <w:color w:val="C6362F"/>
          <w:sz w:val="22"/>
        </w:rPr>
      </w:pPr>
      <w:r>
        <w:rPr>
          <w:rFonts w:ascii="Calibri" w:hAnsi="Calibri"/>
          <w:b w:val="1"/>
          <w:color w:val="C6362F"/>
          <w:sz w:val="22"/>
        </w:rPr>
        <w:t xml:space="preserve">EXPERIENCE</w:t>
      </w:r>
    </w:p>
    <w:p>
      <w:pPr>
        <w:keepNext/>
        <w:spacing w:before="220" w:after="0" w:line="276" w:lineRule="auto"/>
        <w:rPr>
          <w:rFonts w:ascii="Georgia" w:hAnsi="Georgia"/>
          <w:b w:val="1"/>
          <w:color w:val="000000"/>
          <w:sz w:val="28"/>
        </w:rPr>
      </w:pPr>
      <w:r>
        <w:rPr>
          <w:rFonts w:ascii="Georgia" w:hAnsi="Georgia"/>
          <w:b w:val="1"/>
          <w:color w:val="000000"/>
          <w:sz w:val="28"/>
        </w:rPr>
        <w:t xml:space="preserve">Senior Director, Engineering</w:t>
      </w:r>
    </w:p>
    <w:p>
      <w:pPr>
        <w:keepNext/>
        <w:spacing w:before="0" w:after="80" w:line="276" w:lineRule="auto"/>
        <w:rPr>
          <w:rFonts w:ascii="Calibri" w:hAnsi="Calibri"/>
          <w:b w:val="0"/>
          <w:color w:val="4C5457"/>
          <w:sz w:val="20"/>
        </w:rPr>
      </w:pPr>
      <w:r>
        <w:rPr>
          <w:rFonts w:ascii="Calibri" w:hAnsi="Calibri"/>
          <w:b w:val="0"/>
          <w:color w:val="4C5457"/>
          <w:sz w:val="20"/>
        </w:rPr>
        <w:t xml:space="preserve">insightsoftware — Raleigh–Durham, NC (Remote) — Apr 2026 – Present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Lead a 75-person globally distributed engineering organization across two global business lines — Foundational Shared Services and Financial Tools — with 8 direct reports and 5 manager/senior-manager leaders, supporting 75%+ of company Annual Recurring Revenue (ARR), ~$35M direct.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Authored the organization's standard Agile engineering process with AI agents as first-class participants and deployed it across four engineering teams; progressed one business line to agent-run delivery across the engineering lifecycle, with humans retaining roadmap, spec ratification, and release authorization.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Built the engineering foundations for safe production AI: strengthened automated testing, enriched product documentation, and instituted human and mechanical quality gates enabling AI-assisted coding, testing, and spec-driven development in production.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Delivered 100% on-time against executive-committed roadmap dates for five consecutive years — spanning Engineering Manager, Director, and Senior Director tenure — while sustaining 99.95% availability across the product portfolio for three consecutive years.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Enabled $500M in revenue through a common identity platform serving every product line, personally driving the cross-product architecture.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Own technical direction for cross-product architecture, security, reliability, staffing, organization design, build-vs-buy decisions, continuity, technical debt, automation, and multi-year technology roadmaps.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Personally architected, built, and shipped 5 production AI systems; designed and built an end-to-end New Product Introduction (NPI) platform spanning ideation, gated engineering execution, feature tracking, first-adopter rollout, and lifecycle program management.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Accountable for vulnerability and security-incident remediation, penetration-test findings, Disaster Recovery / Business Continuity (DR/BC) architecture, regional data residency, and the engineering evidence supporting ISO compliance.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Serve as engineering counterpart to Product VPs; align with the CPO, President, General Managers, Engineering VPs, and Customer Success / Professional Services leadership on portfolio strategy, customer commitments, investment priorities, and delivery.</w:t>
      </w:r>
    </w:p>
    <w:p>
      <w:pPr>
        <w:keepNext/>
        <w:spacing w:before="220" w:after="0" w:line="276" w:lineRule="auto"/>
        <w:rPr>
          <w:rFonts w:ascii="Georgia" w:hAnsi="Georgia"/>
          <w:b w:val="1"/>
          <w:color w:val="000000"/>
          <w:sz w:val="28"/>
        </w:rPr>
      </w:pPr>
      <w:r>
        <w:rPr>
          <w:rFonts w:ascii="Georgia" w:hAnsi="Georgia"/>
          <w:b w:val="1"/>
          <w:color w:val="000000"/>
          <w:sz w:val="28"/>
        </w:rPr>
        <w:t xml:space="preserve">Director, Software Engineering</w:t>
      </w:r>
    </w:p>
    <w:p>
      <w:pPr>
        <w:keepNext/>
        <w:spacing w:before="0" w:after="80" w:line="276" w:lineRule="auto"/>
        <w:rPr>
          <w:rFonts w:ascii="Calibri" w:hAnsi="Calibri"/>
          <w:b w:val="0"/>
          <w:color w:val="4C5457"/>
          <w:sz w:val="20"/>
        </w:rPr>
      </w:pPr>
      <w:r>
        <w:rPr>
          <w:rFonts w:ascii="Calibri" w:hAnsi="Calibri"/>
          <w:b w:val="0"/>
          <w:color w:val="4C5457"/>
          <w:sz w:val="20"/>
        </w:rPr>
        <w:t xml:space="preserve">insightsoftware — Raleigh–Durham, NC (Remote) — Aug 2021 – Mar 2026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Led engineering for the Foundational Shared Services business line — three products within the line plus two additional heterogeneous products — with approximately 35 engineers across globally distributed teams, three manager direct reports, and two individual-contributor direct reports, and was promoted to Senior Director on a five-year path of expanding scope.</w:t>
      </w:r>
    </w:p>
    <w:p>
      <w:pPr>
        <w:keepNext/>
        <w:spacing w:before="220" w:after="0" w:line="276" w:lineRule="auto"/>
        <w:rPr>
          <w:rFonts w:ascii="Georgia" w:hAnsi="Georgia"/>
          <w:b w:val="1"/>
          <w:color w:val="000000"/>
          <w:sz w:val="28"/>
        </w:rPr>
      </w:pPr>
      <w:r>
        <w:rPr>
          <w:rFonts w:ascii="Georgia" w:hAnsi="Georgia"/>
          <w:b w:val="1"/>
          <w:color w:val="000000"/>
          <w:sz w:val="28"/>
        </w:rPr>
        <w:t xml:space="preserve">Engineering Manager</w:t>
      </w:r>
    </w:p>
    <w:p>
      <w:pPr>
        <w:keepNext/>
        <w:spacing w:before="0" w:after="80" w:line="276" w:lineRule="auto"/>
        <w:rPr>
          <w:rFonts w:ascii="Calibri" w:hAnsi="Calibri"/>
          <w:b w:val="0"/>
          <w:color w:val="4C5457"/>
          <w:sz w:val="20"/>
        </w:rPr>
      </w:pPr>
      <w:r>
        <w:rPr>
          <w:rFonts w:ascii="Calibri" w:hAnsi="Calibri"/>
          <w:b w:val="0"/>
          <w:color w:val="4C5457"/>
          <w:sz w:val="20"/>
        </w:rPr>
        <w:t xml:space="preserve">insightsoftware — Raleigh–Durham, NC (Remote) — Apr 2021 – Jul 2021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Joined as Engineering Manager and was promoted to Director within four months.</w:t>
      </w:r>
    </w:p>
    <w:p>
      <w:pPr>
        <w:keepNext/>
        <w:spacing w:before="220" w:after="0" w:line="276" w:lineRule="auto"/>
        <w:rPr>
          <w:rFonts w:ascii="Georgia" w:hAnsi="Georgia"/>
          <w:b w:val="1"/>
          <w:color w:val="000000"/>
          <w:sz w:val="28"/>
        </w:rPr>
      </w:pPr>
      <w:r>
        <w:rPr>
          <w:rFonts w:ascii="Georgia" w:hAnsi="Georgia"/>
          <w:b w:val="1"/>
          <w:color w:val="000000"/>
          <w:sz w:val="28"/>
        </w:rPr>
        <w:t xml:space="preserve">Application Engineering Team Lead</w:t>
      </w:r>
    </w:p>
    <w:p>
      <w:pPr>
        <w:keepNext/>
        <w:spacing w:before="0" w:after="80" w:line="276" w:lineRule="auto"/>
        <w:rPr>
          <w:rFonts w:ascii="Calibri" w:hAnsi="Calibri"/>
          <w:b w:val="0"/>
          <w:color w:val="4C5457"/>
          <w:sz w:val="20"/>
        </w:rPr>
      </w:pPr>
      <w:r>
        <w:rPr>
          <w:rFonts w:ascii="Calibri" w:hAnsi="Calibri"/>
          <w:b w:val="0"/>
          <w:color w:val="4C5457"/>
          <w:sz w:val="20"/>
        </w:rPr>
        <w:t xml:space="preserve">TKXS — Raleigh, NC — Apr 2020 – Apr 2021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Modernized a legacy product using the strangler pattern and C#/.NET Core microservices, eliminating hundreds of development and maintenance hours annually.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Redesigned the engineering operating model, reducing feature-team interruptions by 90%, infrastructure outage mean time to recovery by 85%, and production defects by 50% through CI/CD test automation.</w:t>
      </w:r>
    </w:p>
    <w:p>
      <w:pPr>
        <w:keepNext/>
        <w:spacing w:before="220" w:after="0" w:line="276" w:lineRule="auto"/>
        <w:rPr>
          <w:rFonts w:ascii="Georgia" w:hAnsi="Georgia"/>
          <w:b w:val="1"/>
          <w:color w:val="000000"/>
          <w:sz w:val="28"/>
        </w:rPr>
      </w:pPr>
      <w:r>
        <w:rPr>
          <w:rFonts w:ascii="Georgia" w:hAnsi="Georgia"/>
          <w:b w:val="1"/>
          <w:color w:val="000000"/>
          <w:sz w:val="28"/>
        </w:rPr>
        <w:t xml:space="preserve">Senior Manager, Cloud Platform Operations (Contract)</w:t>
      </w:r>
    </w:p>
    <w:p>
      <w:pPr>
        <w:keepNext/>
        <w:spacing w:before="0" w:after="80" w:line="276" w:lineRule="auto"/>
        <w:rPr>
          <w:rFonts w:ascii="Calibri" w:hAnsi="Calibri"/>
          <w:b w:val="0"/>
          <w:color w:val="4C5457"/>
          <w:sz w:val="20"/>
        </w:rPr>
      </w:pPr>
      <w:r>
        <w:rPr>
          <w:rFonts w:ascii="Calibri" w:hAnsi="Calibri"/>
          <w:b w:val="0"/>
          <w:color w:val="4C5457"/>
          <w:sz w:val="20"/>
        </w:rPr>
        <w:t xml:space="preserve">Cisco Systems — Research Triangle Park, NC — Oct 2018 – Apr 2020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Built and led a follow-the-sun cloud operations team for an internal cloud service, cutting mean time to recovery from 1–2 weeks to under 24 hours, reducing support escalations by 90%, and sustaining 100% resource availability across four global regions.</w:t>
      </w:r>
    </w:p>
    <w:p>
      <w:pPr>
        <w:keepNext/>
        <w:spacing w:before="220" w:after="0" w:line="276" w:lineRule="auto"/>
        <w:rPr>
          <w:rFonts w:ascii="Georgia" w:hAnsi="Georgia"/>
          <w:b w:val="1"/>
          <w:color w:val="000000"/>
          <w:sz w:val="28"/>
        </w:rPr>
      </w:pPr>
      <w:r>
        <w:rPr>
          <w:rFonts w:ascii="Georgia" w:hAnsi="Georgia"/>
          <w:b w:val="1"/>
          <w:color w:val="000000"/>
          <w:sz w:val="28"/>
        </w:rPr>
        <w:t xml:space="preserve">Manager, Software Engineering / Senior Integration Analyst</w:t>
      </w:r>
    </w:p>
    <w:p>
      <w:pPr>
        <w:keepNext/>
        <w:spacing w:before="0" w:after="80" w:line="276" w:lineRule="auto"/>
        <w:rPr>
          <w:rFonts w:ascii="Calibri" w:hAnsi="Calibri"/>
          <w:b w:val="0"/>
          <w:color w:val="4C5457"/>
          <w:sz w:val="20"/>
        </w:rPr>
      </w:pPr>
      <w:r>
        <w:rPr>
          <w:rFonts w:ascii="Calibri" w:hAnsi="Calibri"/>
          <w:b w:val="0"/>
          <w:color w:val="4C5457"/>
          <w:sz w:val="20"/>
        </w:rPr>
        <w:t xml:space="preserve">Connecture — Raleigh, NC — Oct 2015 – Oct 2018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Led a distributed global team of eleven supporting project teams representing $45M in revenue, and standardized how DevOps and integrations were engaged, saving approximately 30 person-hours per week and reducing escalations by 40%.</w:t>
      </w:r>
    </w:p>
    <w:p>
      <w:pPr>
        <w:keepNext/>
        <w:spacing w:before="220" w:after="0" w:line="276" w:lineRule="auto"/>
        <w:rPr>
          <w:rFonts w:ascii="Georgia" w:hAnsi="Georgia"/>
          <w:b w:val="1"/>
          <w:color w:val="000000"/>
          <w:sz w:val="28"/>
        </w:rPr>
      </w:pPr>
      <w:r>
        <w:rPr>
          <w:rFonts w:ascii="Georgia" w:hAnsi="Georgia"/>
          <w:b w:val="1"/>
          <w:color w:val="000000"/>
          <w:sz w:val="28"/>
        </w:rPr>
        <w:t xml:space="preserve">Business Intelligence Developer</w:t>
      </w:r>
    </w:p>
    <w:p>
      <w:pPr>
        <w:keepNext/>
        <w:spacing w:before="0" w:after="80" w:line="276" w:lineRule="auto"/>
        <w:rPr>
          <w:rFonts w:ascii="Calibri" w:hAnsi="Calibri"/>
          <w:b w:val="0"/>
          <w:color w:val="4C5457"/>
          <w:sz w:val="20"/>
        </w:rPr>
      </w:pPr>
      <w:r>
        <w:rPr>
          <w:rFonts w:ascii="Calibri" w:hAnsi="Calibri"/>
          <w:b w:val="0"/>
          <w:color w:val="4C5457"/>
          <w:sz w:val="20"/>
        </w:rPr>
        <w:t xml:space="preserve">Harnett Health — Dunn, NC — Aug 2013 – Nov 2015</w:t>
      </w:r>
    </w:p>
    <w:p>
      <w:pPr>
        <w:spacing w:before="0" w:after="100" w:line="276" w:lineRule="auto"/>
        <w:ind w:left="360" w:hanging="360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• Led payer-mix optimization that recaptured $3M in funding and avoided $5M in costs over 90 days, working in a position of public trust with protected health information under HIPAA.</w:t>
      </w:r>
    </w:p>
    <w:p>
      <w:pPr>
        <w:spacing w:before="120" w:after="120" w:line="276" w:lineRule="auto"/>
        <w:rPr>
          <w:rFonts w:ascii="Calibri" w:hAnsi="Calibri"/>
          <w:b w:val="0"/>
          <w:color w:val="4C5457"/>
          <w:sz w:val="22"/>
        </w:rPr>
      </w:pPr>
      <w:r>
        <w:rPr>
          <w:rFonts w:ascii="Calibri" w:hAnsi="Calibri"/>
          <w:b w:val="0"/>
          <w:color w:val="4C5457"/>
          <w:sz w:val="22"/>
        </w:rPr>
        <w:t xml:space="preserve">Earlier roles: Raleigh Web Partners, SBTDC, Cyberwoven, IBM, Sony Ericsson.</w:t>
      </w:r>
    </w:p>
    <w:p>
      <w:pPr>
        <w:keepNext/>
        <w:spacing w:before="280" w:after="120" w:line="276" w:lineRule="auto"/>
        <w:rPr>
          <w:rFonts w:ascii="Calibri" w:hAnsi="Calibri"/>
          <w:b w:val="1"/>
          <w:color w:val="C6362F"/>
          <w:sz w:val="22"/>
        </w:rPr>
      </w:pPr>
      <w:r>
        <w:rPr>
          <w:rFonts w:ascii="Calibri" w:hAnsi="Calibri"/>
          <w:b w:val="1"/>
          <w:color w:val="C6362F"/>
          <w:sz w:val="22"/>
        </w:rPr>
        <w:t xml:space="preserve">SKILLS</w:t>
      </w:r>
    </w:p>
    <w:p>
      <w:pPr>
        <w:spacing w:before="0" w:after="120" w:line="276" w:lineRule="auto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Engineering leadership, organization design, Artificial Intelligence (AI) transformation, agentic engineering, spec-driven development, Agile engineering process design, .NET Core, C#, Python, Software as a Service (SaaS) architecture, distributed systems, cloud platforms (AWS, Azure, GCP), Kubernetes, Docker, CI/CD, platform engineering, shared services, identity and access management, security and compliance (ISO), Disaster Recovery / Business Continuity (DR/BC), technical strategy, build-vs-buy analysis, technical debt management, delivery management, roadmap planning, executive stakeholder management.</w:t>
      </w:r>
    </w:p>
    <w:p>
      <w:pPr>
        <w:keepNext/>
        <w:spacing w:before="280" w:after="120" w:line="276" w:lineRule="auto"/>
        <w:rPr>
          <w:rFonts w:ascii="Calibri" w:hAnsi="Calibri"/>
          <w:b w:val="1"/>
          <w:color w:val="C6362F"/>
          <w:sz w:val="22"/>
        </w:rPr>
      </w:pPr>
      <w:r>
        <w:rPr>
          <w:rFonts w:ascii="Calibri" w:hAnsi="Calibri"/>
          <w:b w:val="1"/>
          <w:color w:val="C6362F"/>
          <w:sz w:val="22"/>
        </w:rPr>
        <w:t xml:space="preserve">EDUCATION</w:t>
      </w:r>
    </w:p>
    <w:p>
      <w:pPr>
        <w:spacing w:before="0" w:after="40" w:line="276" w:lineRule="auto"/>
        <w:rPr>
          <w:rFonts w:ascii="Calibri" w:hAnsi="Calibri"/>
          <w:b w:val="1"/>
          <w:color w:val="000000"/>
          <w:sz w:val="22"/>
        </w:rPr>
      </w:pPr>
      <w:r>
        <w:rPr>
          <w:rFonts w:ascii="Calibri" w:hAnsi="Calibri"/>
          <w:b w:val="1"/>
          <w:color w:val="000000"/>
          <w:sz w:val="22"/>
        </w:rPr>
        <w:t xml:space="preserve">Master of Science, Computer Science — Georgia Institute of Technology — 2024</w:t>
      </w:r>
    </w:p>
    <w:p>
      <w:pPr>
        <w:spacing w:before="0" w:after="140" w:line="276" w:lineRule="auto"/>
        <w:rPr>
          <w:rFonts w:ascii="Calibri" w:hAnsi="Calibri"/>
          <w:b w:val="0"/>
          <w:color w:val="4C5457"/>
          <w:sz w:val="21"/>
        </w:rPr>
      </w:pPr>
      <w:r>
        <w:rPr>
          <w:rFonts w:ascii="Calibri" w:hAnsi="Calibri"/>
          <w:b w:val="0"/>
          <w:color w:val="4C5457"/>
          <w:sz w:val="21"/>
        </w:rPr>
        <w:t xml:space="preserve">Specialization: Interactive Intelligence (Artificial Intelligence and Human-Computer Interaction).</w:t>
      </w:r>
    </w:p>
    <w:p>
      <w:pPr>
        <w:spacing w:before="0" w:after="40" w:line="276" w:lineRule="auto"/>
        <w:rPr>
          <w:rFonts w:ascii="Calibri" w:hAnsi="Calibri"/>
          <w:b w:val="1"/>
          <w:color w:val="000000"/>
          <w:sz w:val="22"/>
        </w:rPr>
      </w:pPr>
      <w:r>
        <w:rPr>
          <w:rFonts w:ascii="Calibri" w:hAnsi="Calibri"/>
          <w:b w:val="1"/>
          <w:color w:val="000000"/>
          <w:sz w:val="22"/>
        </w:rPr>
        <w:t xml:space="preserve">Master of Business Administration — North Carolina State University, Jenkins Graduate School of Management — 2013</w:t>
      </w:r>
    </w:p>
    <w:p>
      <w:pPr>
        <w:spacing w:before="0" w:after="140" w:line="276" w:lineRule="auto"/>
        <w:rPr>
          <w:rFonts w:ascii="Calibri" w:hAnsi="Calibri"/>
          <w:b w:val="0"/>
          <w:color w:val="4C5457"/>
          <w:sz w:val="21"/>
        </w:rPr>
      </w:pPr>
      <w:r>
        <w:rPr>
          <w:rFonts w:ascii="Calibri" w:hAnsi="Calibri"/>
          <w:b w:val="0"/>
          <w:color w:val="4C5457"/>
          <w:sz w:val="21"/>
        </w:rPr>
        <w:t xml:space="preserve">Concentration: Entrepreneurship and Marketing. HiTEC Fellowship.</w:t>
      </w:r>
    </w:p>
    <w:p>
      <w:pPr>
        <w:spacing w:before="0" w:after="40" w:line="276" w:lineRule="auto"/>
        <w:rPr>
          <w:rFonts w:ascii="Calibri" w:hAnsi="Calibri"/>
          <w:b w:val="1"/>
          <w:color w:val="000000"/>
          <w:sz w:val="22"/>
        </w:rPr>
      </w:pPr>
      <w:r>
        <w:rPr>
          <w:rFonts w:ascii="Calibri" w:hAnsi="Calibri"/>
          <w:b w:val="1"/>
          <w:color w:val="000000"/>
          <w:sz w:val="22"/>
        </w:rPr>
        <w:t xml:space="preserve">Bachelor of Science, Computer Science — North Carolina State University — 2009</w:t>
      </w:r>
    </w:p>
    <w:p>
      <w:pPr>
        <w:spacing w:before="0" w:after="140" w:line="276" w:lineRule="auto"/>
        <w:rPr>
          <w:rFonts w:ascii="Calibri" w:hAnsi="Calibri"/>
          <w:b w:val="0"/>
          <w:color w:val="4C5457"/>
          <w:sz w:val="21"/>
        </w:rPr>
      </w:pPr>
      <w:r>
        <w:rPr>
          <w:rFonts w:ascii="Calibri" w:hAnsi="Calibri"/>
          <w:b w:val="0"/>
          <w:color w:val="4C5457"/>
          <w:sz w:val="21"/>
        </w:rPr>
        <w:t xml:space="preserve">Coursework: Agile development, networking.</w:t>
      </w:r>
    </w:p>
    <w:p>
      <w:pPr>
        <w:keepNext/>
        <w:spacing w:before="280" w:after="120" w:line="276" w:lineRule="auto"/>
        <w:rPr>
          <w:rFonts w:ascii="Calibri" w:hAnsi="Calibri"/>
          <w:b w:val="1"/>
          <w:color w:val="C6362F"/>
          <w:sz w:val="22"/>
        </w:rPr>
      </w:pPr>
      <w:r>
        <w:rPr>
          <w:rFonts w:ascii="Calibri" w:hAnsi="Calibri"/>
          <w:b w:val="1"/>
          <w:color w:val="C6362F"/>
          <w:sz w:val="22"/>
        </w:rPr>
        <w:t xml:space="preserve">CERTIFICATIONS</w:t>
      </w:r>
    </w:p>
    <w:p>
      <w:pPr>
        <w:spacing w:before="0" w:after="120" w:line="276" w:lineRule="auto"/>
        <w:rPr>
          <w:rFonts w:ascii="Calibri" w:hAnsi="Calibri"/>
          <w:b w:val="0"/>
          <w:color w:val="000000"/>
          <w:sz w:val="22"/>
        </w:rPr>
      </w:pPr>
      <w:r>
        <w:rPr>
          <w:rFonts w:ascii="Calibri" w:hAnsi="Calibri"/>
          <w:b w:val="0"/>
          <w:color w:val="000000"/>
          <w:sz w:val="22"/>
        </w:rPr>
        <w:t xml:space="preserve">Project Management Professional (PMP) — Project Management Institute — License #2561807, 2019.</w:t>
      </w:r>
    </w:p>
    <w:sectPr>
      <w:pgSz w:w="12240" w:h="15840"/>
      <w:pgMar w:top="1080" w:right="1080" w:bottom="1080" w:left="108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